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8894F" w14:textId="5C10DE8D" w:rsidR="004A3134" w:rsidRPr="004A3134" w:rsidRDefault="004A3134" w:rsidP="009878C5">
      <w:pPr>
        <w:spacing w:after="0" w:line="240" w:lineRule="auto"/>
        <w:rPr>
          <w:bCs/>
          <w:sz w:val="21"/>
          <w:szCs w:val="20"/>
          <w:lang/>
        </w:rPr>
      </w:pPr>
      <w:bookmarkStart w:id="0" w:name="_GoBack"/>
      <w:bookmarkEnd w:id="0"/>
      <w:r w:rsidRPr="004A3134">
        <w:rPr>
          <w:bCs/>
          <w:sz w:val="21"/>
          <w:szCs w:val="20"/>
          <w:lang/>
        </w:rPr>
        <w:t xml:space="preserve">Dear Tennis Europe Player, </w:t>
      </w:r>
    </w:p>
    <w:p w14:paraId="31C6F494" w14:textId="7E122BD0" w:rsidR="004A3134" w:rsidRPr="004A3134" w:rsidRDefault="004A3134" w:rsidP="009878C5">
      <w:pPr>
        <w:spacing w:after="0" w:line="240" w:lineRule="auto"/>
        <w:rPr>
          <w:bCs/>
          <w:sz w:val="21"/>
          <w:szCs w:val="20"/>
          <w:lang/>
        </w:rPr>
      </w:pPr>
    </w:p>
    <w:p w14:paraId="3AA618A7" w14:textId="77777777" w:rsidR="004A3134" w:rsidRPr="004A3134" w:rsidRDefault="004A3134" w:rsidP="009878C5">
      <w:pPr>
        <w:spacing w:after="0" w:line="240" w:lineRule="auto"/>
        <w:rPr>
          <w:bCs/>
          <w:sz w:val="21"/>
          <w:szCs w:val="20"/>
          <w:lang/>
        </w:rPr>
      </w:pPr>
      <w:r w:rsidRPr="004A3134">
        <w:rPr>
          <w:bCs/>
          <w:sz w:val="21"/>
          <w:szCs w:val="20"/>
          <w:lang/>
        </w:rPr>
        <w:t>We are happy to inform you that t</w:t>
      </w:r>
      <w:r w:rsidR="009878C5" w:rsidRPr="004A3134">
        <w:rPr>
          <w:bCs/>
          <w:sz w:val="21"/>
          <w:szCs w:val="20"/>
        </w:rPr>
        <w:t>here are now three ways to sign-in for Qualifying and Main Draw of a Tennis Europe Junior Tour tournament.</w:t>
      </w:r>
      <w:r w:rsidRPr="004A3134">
        <w:rPr>
          <w:bCs/>
          <w:sz w:val="21"/>
          <w:szCs w:val="20"/>
          <w:lang/>
        </w:rPr>
        <w:t xml:space="preserve"> </w:t>
      </w:r>
    </w:p>
    <w:p w14:paraId="2C51B8BE" w14:textId="77777777" w:rsidR="004A3134" w:rsidRPr="004A3134" w:rsidRDefault="004A3134" w:rsidP="009878C5">
      <w:pPr>
        <w:spacing w:after="0" w:line="240" w:lineRule="auto"/>
        <w:rPr>
          <w:bCs/>
          <w:sz w:val="21"/>
          <w:szCs w:val="20"/>
          <w:lang/>
        </w:rPr>
      </w:pPr>
    </w:p>
    <w:p w14:paraId="4041FF6F" w14:textId="110C9F8E" w:rsidR="00446000" w:rsidRPr="004A3134" w:rsidRDefault="00446000" w:rsidP="009878C5">
      <w:pPr>
        <w:spacing w:after="0" w:line="240" w:lineRule="auto"/>
        <w:rPr>
          <w:bCs/>
          <w:sz w:val="21"/>
          <w:szCs w:val="20"/>
          <w:lang/>
        </w:rPr>
      </w:pPr>
      <w:r w:rsidRPr="004A3134">
        <w:rPr>
          <w:bCs/>
          <w:sz w:val="21"/>
          <w:szCs w:val="20"/>
        </w:rPr>
        <w:t>The full regulation can be found here</w:t>
      </w:r>
      <w:r w:rsidR="004A3134" w:rsidRPr="004A3134">
        <w:rPr>
          <w:bCs/>
          <w:sz w:val="21"/>
          <w:szCs w:val="20"/>
          <w:lang/>
        </w:rPr>
        <w:t xml:space="preserve">:  </w:t>
      </w:r>
      <w:hyperlink r:id="rId5" w:history="1">
        <w:r w:rsidR="004A3134" w:rsidRPr="004A3134">
          <w:rPr>
            <w:rStyle w:val="Hyperlink"/>
            <w:sz w:val="21"/>
            <w:szCs w:val="20"/>
          </w:rPr>
          <w:t>https://www.tenniseurope.org/file/874074/?dl=1</w:t>
        </w:r>
      </w:hyperlink>
      <w:r w:rsidR="004A3134" w:rsidRPr="004A3134">
        <w:rPr>
          <w:sz w:val="21"/>
          <w:szCs w:val="20"/>
          <w:lang/>
        </w:rPr>
        <w:t xml:space="preserve"> </w:t>
      </w:r>
    </w:p>
    <w:p w14:paraId="167C7F67" w14:textId="413061FE" w:rsidR="00446000" w:rsidRPr="004A3134" w:rsidRDefault="00446000" w:rsidP="009878C5">
      <w:pPr>
        <w:spacing w:after="0" w:line="240" w:lineRule="auto"/>
        <w:rPr>
          <w:bCs/>
          <w:sz w:val="21"/>
          <w:szCs w:val="20"/>
        </w:rPr>
      </w:pPr>
    </w:p>
    <w:p w14:paraId="782C235D" w14:textId="66AA3008" w:rsidR="00446000" w:rsidRPr="004A3134" w:rsidRDefault="00446000" w:rsidP="009878C5">
      <w:pPr>
        <w:spacing w:after="0" w:line="240" w:lineRule="auto"/>
        <w:rPr>
          <w:b/>
          <w:sz w:val="21"/>
          <w:szCs w:val="20"/>
        </w:rPr>
      </w:pPr>
      <w:r w:rsidRPr="004A3134">
        <w:rPr>
          <w:b/>
          <w:sz w:val="21"/>
          <w:szCs w:val="20"/>
        </w:rPr>
        <w:t>SINGLES</w:t>
      </w:r>
    </w:p>
    <w:p w14:paraId="4F82FC6F" w14:textId="77777777" w:rsidR="009878C5" w:rsidRPr="004A3134" w:rsidRDefault="009878C5" w:rsidP="009878C5">
      <w:pPr>
        <w:spacing w:after="0" w:line="240" w:lineRule="auto"/>
        <w:rPr>
          <w:bCs/>
          <w:sz w:val="21"/>
          <w:szCs w:val="20"/>
        </w:rPr>
      </w:pPr>
    </w:p>
    <w:p w14:paraId="2A71ECC0" w14:textId="637BF2D5" w:rsidR="009878C5" w:rsidRPr="004A3134" w:rsidRDefault="009878C5" w:rsidP="009878C5">
      <w:pPr>
        <w:pStyle w:val="ListParagraph"/>
        <w:numPr>
          <w:ilvl w:val="0"/>
          <w:numId w:val="1"/>
        </w:numPr>
        <w:spacing w:after="0" w:line="240" w:lineRule="auto"/>
        <w:rPr>
          <w:bCs/>
          <w:sz w:val="21"/>
          <w:szCs w:val="20"/>
        </w:rPr>
      </w:pPr>
      <w:r w:rsidRPr="004A3134">
        <w:rPr>
          <w:b/>
          <w:i/>
          <w:iCs/>
          <w:sz w:val="21"/>
          <w:szCs w:val="20"/>
        </w:rPr>
        <w:t>Online</w:t>
      </w:r>
      <w:r w:rsidRPr="004A3134">
        <w:rPr>
          <w:bCs/>
          <w:sz w:val="21"/>
          <w:szCs w:val="20"/>
        </w:rPr>
        <w:t xml:space="preserve"> (new, preferred method). For online sign-in you must log in to your Tennis Europe account and follow the instructions on the webpage.</w:t>
      </w:r>
    </w:p>
    <w:p w14:paraId="251FBB95" w14:textId="07440BF2" w:rsidR="00BB0754" w:rsidRPr="004A3134" w:rsidRDefault="00BB0754" w:rsidP="00BB0754">
      <w:pPr>
        <w:pStyle w:val="ListParagraph"/>
        <w:numPr>
          <w:ilvl w:val="1"/>
          <w:numId w:val="1"/>
        </w:numPr>
        <w:spacing w:after="0" w:line="240" w:lineRule="auto"/>
        <w:rPr>
          <w:bCs/>
          <w:sz w:val="21"/>
          <w:szCs w:val="20"/>
        </w:rPr>
      </w:pPr>
      <w:r w:rsidRPr="004A3134">
        <w:rPr>
          <w:b/>
          <w:i/>
          <w:iCs/>
          <w:sz w:val="21"/>
          <w:szCs w:val="20"/>
        </w:rPr>
        <w:t xml:space="preserve">For Qualifying: </w:t>
      </w:r>
      <w:r w:rsidRPr="004A3134">
        <w:rPr>
          <w:bCs/>
          <w:sz w:val="21"/>
          <w:szCs w:val="20"/>
        </w:rPr>
        <w:t>For entered players on the Qualifying Acceptance list and Alternate list. On-site Alternates must sign-in by phone or on-site. The online sign-in opens 24 hours before the Sign-in Deadline and closes at the Qualifying Sign-in Deadline at 18.00 on the day before the Qualifying draw starts.</w:t>
      </w:r>
    </w:p>
    <w:p w14:paraId="6F944389" w14:textId="6A1101E8" w:rsidR="009878C5" w:rsidRPr="004A3134" w:rsidRDefault="00BB0754" w:rsidP="00CF2CC1">
      <w:pPr>
        <w:pStyle w:val="ListParagraph"/>
        <w:numPr>
          <w:ilvl w:val="1"/>
          <w:numId w:val="1"/>
        </w:numPr>
        <w:spacing w:after="0" w:line="240" w:lineRule="auto"/>
        <w:ind w:left="1418"/>
        <w:rPr>
          <w:bCs/>
          <w:sz w:val="21"/>
          <w:szCs w:val="20"/>
        </w:rPr>
      </w:pPr>
      <w:r w:rsidRPr="004A3134">
        <w:rPr>
          <w:b/>
          <w:i/>
          <w:iCs/>
          <w:sz w:val="21"/>
          <w:szCs w:val="20"/>
        </w:rPr>
        <w:t>For Main Draw:</w:t>
      </w:r>
      <w:r w:rsidRPr="004A3134">
        <w:rPr>
          <w:bCs/>
          <w:sz w:val="21"/>
          <w:szCs w:val="20"/>
        </w:rPr>
        <w:t xml:space="preserve"> For entered players on the Main Draw acceptance list. The online sign-in opens 24 hours before the Sign-in Deadline and closes at the Main Draw Sign-in Deadline at 18.00 on the day before the Main Draw starts.</w:t>
      </w:r>
      <w:r w:rsidRPr="004A3134">
        <w:rPr>
          <w:bCs/>
          <w:sz w:val="21"/>
          <w:szCs w:val="20"/>
        </w:rPr>
        <w:br/>
      </w:r>
    </w:p>
    <w:p w14:paraId="25EFCB0B" w14:textId="69DD47A0" w:rsidR="009878C5" w:rsidRPr="004A3134" w:rsidRDefault="009878C5" w:rsidP="009878C5">
      <w:pPr>
        <w:pStyle w:val="ListParagraph"/>
        <w:numPr>
          <w:ilvl w:val="0"/>
          <w:numId w:val="1"/>
        </w:numPr>
        <w:spacing w:after="0" w:line="240" w:lineRule="auto"/>
        <w:rPr>
          <w:bCs/>
          <w:sz w:val="21"/>
          <w:szCs w:val="20"/>
        </w:rPr>
      </w:pPr>
      <w:r w:rsidRPr="004A3134">
        <w:rPr>
          <w:b/>
          <w:i/>
          <w:iCs/>
          <w:sz w:val="21"/>
          <w:szCs w:val="20"/>
        </w:rPr>
        <w:t>Telephone sign-in</w:t>
      </w:r>
      <w:r w:rsidRPr="004A3134">
        <w:rPr>
          <w:bCs/>
          <w:sz w:val="21"/>
          <w:szCs w:val="20"/>
        </w:rPr>
        <w:t xml:space="preserve">. </w:t>
      </w:r>
      <w:r w:rsidR="00446000" w:rsidRPr="004A3134">
        <w:rPr>
          <w:bCs/>
          <w:sz w:val="21"/>
          <w:szCs w:val="20"/>
        </w:rPr>
        <w:t>O</w:t>
      </w:r>
      <w:r w:rsidRPr="004A3134">
        <w:rPr>
          <w:bCs/>
          <w:sz w:val="21"/>
          <w:szCs w:val="20"/>
        </w:rPr>
        <w:t>nly voice calls are permitted. Email, text messages are not allowed.</w:t>
      </w:r>
    </w:p>
    <w:p w14:paraId="664281EC" w14:textId="4C9BFBF0" w:rsidR="00446000" w:rsidRPr="004A3134" w:rsidRDefault="00446000" w:rsidP="00446000">
      <w:pPr>
        <w:pStyle w:val="ListParagraph"/>
        <w:numPr>
          <w:ilvl w:val="1"/>
          <w:numId w:val="1"/>
        </w:numPr>
        <w:spacing w:after="0" w:line="240" w:lineRule="auto"/>
        <w:rPr>
          <w:bCs/>
          <w:sz w:val="21"/>
          <w:szCs w:val="20"/>
        </w:rPr>
      </w:pPr>
      <w:r w:rsidRPr="004A3134">
        <w:rPr>
          <w:bCs/>
          <w:sz w:val="21"/>
          <w:szCs w:val="20"/>
        </w:rPr>
        <w:t>Players on the Qualifying Acceptance list or the Alternates list can sign-in by calling the Referee by phone or sign-in on-site.</w:t>
      </w:r>
    </w:p>
    <w:p w14:paraId="4D6B46BB" w14:textId="77777777" w:rsidR="00446000" w:rsidRPr="004A3134" w:rsidRDefault="00446000" w:rsidP="00446000">
      <w:pPr>
        <w:pStyle w:val="ListParagraph"/>
        <w:numPr>
          <w:ilvl w:val="1"/>
          <w:numId w:val="1"/>
        </w:numPr>
        <w:spacing w:after="0" w:line="240" w:lineRule="auto"/>
        <w:rPr>
          <w:bCs/>
          <w:sz w:val="21"/>
          <w:szCs w:val="20"/>
        </w:rPr>
      </w:pPr>
      <w:r w:rsidRPr="004A3134">
        <w:rPr>
          <w:bCs/>
          <w:sz w:val="21"/>
          <w:szCs w:val="20"/>
        </w:rPr>
        <w:t>Players on the Qualifying Acceptance List who wish to Preserve Eligibility for the Main Draw must always contact the Referee by phone or on-site. Preserving Eligibility is not available from the online system.</w:t>
      </w:r>
    </w:p>
    <w:p w14:paraId="29DED395" w14:textId="77777777" w:rsidR="00446000" w:rsidRPr="004A3134" w:rsidRDefault="00446000" w:rsidP="00446000">
      <w:pPr>
        <w:pStyle w:val="ListParagraph"/>
        <w:numPr>
          <w:ilvl w:val="1"/>
          <w:numId w:val="1"/>
        </w:numPr>
        <w:spacing w:after="0" w:line="240" w:lineRule="auto"/>
        <w:rPr>
          <w:bCs/>
          <w:sz w:val="21"/>
          <w:szCs w:val="20"/>
        </w:rPr>
      </w:pPr>
      <w:r w:rsidRPr="004A3134">
        <w:rPr>
          <w:bCs/>
          <w:sz w:val="21"/>
          <w:szCs w:val="20"/>
        </w:rPr>
        <w:t>Players Applying for Special Exempt must do so by contacting the Referee of their ‘current’ tournament who will get in contact with the Referee. Applying for Special Exempt status is not available from the online system.</w:t>
      </w:r>
    </w:p>
    <w:p w14:paraId="6911ADB9" w14:textId="0E64746C" w:rsidR="00446000" w:rsidRPr="004A3134" w:rsidRDefault="00446000" w:rsidP="00446000">
      <w:pPr>
        <w:pStyle w:val="ListParagraph"/>
        <w:numPr>
          <w:ilvl w:val="1"/>
          <w:numId w:val="1"/>
        </w:numPr>
        <w:spacing w:after="0" w:line="240" w:lineRule="auto"/>
        <w:rPr>
          <w:bCs/>
          <w:sz w:val="21"/>
          <w:szCs w:val="20"/>
        </w:rPr>
      </w:pPr>
      <w:r w:rsidRPr="004A3134">
        <w:rPr>
          <w:bCs/>
          <w:sz w:val="21"/>
          <w:szCs w:val="20"/>
        </w:rPr>
        <w:t>The telephone sign-in opens latest at 15.00 and closes at 18.00 local time the day of the Sign-in Deadline.</w:t>
      </w:r>
    </w:p>
    <w:p w14:paraId="7B4D2A9A" w14:textId="1A2CF427" w:rsidR="009878C5" w:rsidRPr="004A3134" w:rsidRDefault="009878C5" w:rsidP="009878C5">
      <w:pPr>
        <w:spacing w:after="0" w:line="240" w:lineRule="auto"/>
        <w:rPr>
          <w:bCs/>
          <w:sz w:val="21"/>
          <w:szCs w:val="20"/>
        </w:rPr>
      </w:pPr>
    </w:p>
    <w:p w14:paraId="499F4838" w14:textId="7284C1DD" w:rsidR="009878C5" w:rsidRPr="004A3134" w:rsidRDefault="009878C5" w:rsidP="009878C5">
      <w:pPr>
        <w:pStyle w:val="ListParagraph"/>
        <w:numPr>
          <w:ilvl w:val="0"/>
          <w:numId w:val="1"/>
        </w:numPr>
        <w:spacing w:after="0" w:line="240" w:lineRule="auto"/>
        <w:rPr>
          <w:bCs/>
          <w:sz w:val="21"/>
          <w:szCs w:val="20"/>
        </w:rPr>
      </w:pPr>
      <w:r w:rsidRPr="004A3134">
        <w:rPr>
          <w:b/>
          <w:i/>
          <w:iCs/>
          <w:sz w:val="21"/>
          <w:szCs w:val="20"/>
        </w:rPr>
        <w:t>On-site.</w:t>
      </w:r>
      <w:r w:rsidRPr="004A3134">
        <w:rPr>
          <w:bCs/>
          <w:sz w:val="21"/>
          <w:szCs w:val="20"/>
        </w:rPr>
        <w:t xml:space="preserve"> Players at the tournament site during the sign-in period may sign-in with the Referee on-site.</w:t>
      </w:r>
    </w:p>
    <w:p w14:paraId="6A0E3B1C" w14:textId="29DA6581" w:rsidR="00446000" w:rsidRPr="004A3134" w:rsidRDefault="00446000" w:rsidP="00446000">
      <w:pPr>
        <w:pStyle w:val="ListParagraph"/>
        <w:numPr>
          <w:ilvl w:val="1"/>
          <w:numId w:val="1"/>
        </w:numPr>
        <w:spacing w:after="0" w:line="240" w:lineRule="auto"/>
        <w:rPr>
          <w:bCs/>
          <w:sz w:val="21"/>
          <w:szCs w:val="20"/>
        </w:rPr>
      </w:pPr>
      <w:r w:rsidRPr="004A3134">
        <w:rPr>
          <w:bCs/>
          <w:sz w:val="21"/>
          <w:szCs w:val="20"/>
        </w:rPr>
        <w:t>The on-site sign-in opens latest at 15.00 and closes at 18.00 local time the day of the Sign-in Deadline.</w:t>
      </w:r>
    </w:p>
    <w:p w14:paraId="39507290" w14:textId="77777777" w:rsidR="009878C5" w:rsidRPr="004A3134" w:rsidRDefault="009878C5" w:rsidP="009878C5">
      <w:pPr>
        <w:spacing w:after="0" w:line="240" w:lineRule="auto"/>
        <w:rPr>
          <w:bCs/>
          <w:sz w:val="21"/>
          <w:szCs w:val="20"/>
        </w:rPr>
      </w:pPr>
    </w:p>
    <w:p w14:paraId="5A684C55" w14:textId="77777777" w:rsidR="009878C5" w:rsidRPr="004A3134" w:rsidRDefault="009878C5" w:rsidP="009878C5">
      <w:pPr>
        <w:spacing w:after="0" w:line="240" w:lineRule="auto"/>
        <w:rPr>
          <w:bCs/>
          <w:sz w:val="21"/>
          <w:szCs w:val="20"/>
        </w:rPr>
      </w:pPr>
      <w:r w:rsidRPr="004A3134">
        <w:rPr>
          <w:bCs/>
          <w:sz w:val="21"/>
          <w:szCs w:val="20"/>
        </w:rPr>
        <w:t>Players granted a Wild Card don’t have to sign-in but must be in contact with the Referee to confirm they accept the Wild Card ahead of the respective sign-in deadline.</w:t>
      </w:r>
    </w:p>
    <w:p w14:paraId="6E45326A" w14:textId="77777777" w:rsidR="009878C5" w:rsidRPr="004A3134" w:rsidRDefault="009878C5" w:rsidP="009878C5">
      <w:pPr>
        <w:spacing w:after="0" w:line="240" w:lineRule="auto"/>
        <w:rPr>
          <w:bCs/>
          <w:sz w:val="21"/>
          <w:szCs w:val="20"/>
        </w:rPr>
      </w:pPr>
    </w:p>
    <w:p w14:paraId="6FAC0F08" w14:textId="1DD261B2" w:rsidR="009878C5" w:rsidRPr="004A3134" w:rsidRDefault="009878C5" w:rsidP="009878C5">
      <w:pPr>
        <w:spacing w:after="0" w:line="240" w:lineRule="auto"/>
        <w:rPr>
          <w:bCs/>
          <w:sz w:val="21"/>
          <w:szCs w:val="20"/>
        </w:rPr>
      </w:pPr>
      <w:r w:rsidRPr="004A3134">
        <w:rPr>
          <w:bCs/>
          <w:sz w:val="21"/>
          <w:szCs w:val="20"/>
        </w:rPr>
        <w:t>Players must be available to play from the morning of the first day of play in the event unless a later time has been confirmed by the Referee.</w:t>
      </w:r>
    </w:p>
    <w:p w14:paraId="36C98FEE" w14:textId="77777777" w:rsidR="009878C5" w:rsidRPr="004A3134" w:rsidRDefault="009878C5" w:rsidP="009878C5">
      <w:pPr>
        <w:spacing w:after="0" w:line="240" w:lineRule="auto"/>
        <w:rPr>
          <w:bCs/>
          <w:sz w:val="21"/>
          <w:szCs w:val="20"/>
        </w:rPr>
      </w:pPr>
    </w:p>
    <w:p w14:paraId="6DA37832" w14:textId="77777777" w:rsidR="009878C5" w:rsidRPr="004A3134" w:rsidRDefault="009878C5" w:rsidP="009878C5">
      <w:pPr>
        <w:spacing w:after="0" w:line="240" w:lineRule="auto"/>
        <w:rPr>
          <w:bCs/>
          <w:sz w:val="21"/>
          <w:szCs w:val="20"/>
        </w:rPr>
      </w:pPr>
      <w:r w:rsidRPr="004A3134">
        <w:rPr>
          <w:bCs/>
          <w:sz w:val="21"/>
          <w:szCs w:val="20"/>
        </w:rPr>
        <w:t xml:space="preserve">Players must approach the Tournament </w:t>
      </w:r>
      <w:proofErr w:type="spellStart"/>
      <w:r w:rsidRPr="004A3134">
        <w:rPr>
          <w:bCs/>
          <w:sz w:val="21"/>
          <w:szCs w:val="20"/>
        </w:rPr>
        <w:t>Organiser</w:t>
      </w:r>
      <w:proofErr w:type="spellEnd"/>
      <w:r w:rsidRPr="004A3134">
        <w:rPr>
          <w:bCs/>
          <w:sz w:val="21"/>
          <w:szCs w:val="20"/>
        </w:rPr>
        <w:t>/Cashier immediately on arrival to pay the Entry fee.</w:t>
      </w:r>
    </w:p>
    <w:p w14:paraId="33471518" w14:textId="77777777" w:rsidR="009878C5" w:rsidRPr="004A3134" w:rsidRDefault="009878C5" w:rsidP="009878C5">
      <w:pPr>
        <w:spacing w:after="0" w:line="240" w:lineRule="auto"/>
        <w:rPr>
          <w:bCs/>
          <w:sz w:val="21"/>
          <w:szCs w:val="20"/>
          <w:highlight w:val="yellow"/>
        </w:rPr>
      </w:pPr>
    </w:p>
    <w:p w14:paraId="6965DCCE" w14:textId="4F68B4E5" w:rsidR="009878C5" w:rsidRPr="004A3134" w:rsidRDefault="009878C5" w:rsidP="009878C5">
      <w:pPr>
        <w:spacing w:after="0" w:line="240" w:lineRule="auto"/>
        <w:rPr>
          <w:b/>
          <w:sz w:val="21"/>
          <w:szCs w:val="20"/>
        </w:rPr>
      </w:pPr>
      <w:r w:rsidRPr="004A3134">
        <w:rPr>
          <w:b/>
          <w:sz w:val="21"/>
          <w:szCs w:val="20"/>
        </w:rPr>
        <w:t>D</w:t>
      </w:r>
      <w:r w:rsidR="00446000" w:rsidRPr="004A3134">
        <w:rPr>
          <w:b/>
          <w:sz w:val="21"/>
          <w:szCs w:val="20"/>
        </w:rPr>
        <w:t>OUBLES</w:t>
      </w:r>
    </w:p>
    <w:p w14:paraId="34BE9FA6" w14:textId="77777777" w:rsidR="009878C5" w:rsidRPr="004A3134" w:rsidRDefault="009878C5" w:rsidP="009878C5">
      <w:pPr>
        <w:spacing w:after="0" w:line="240" w:lineRule="auto"/>
        <w:rPr>
          <w:bCs/>
          <w:sz w:val="21"/>
          <w:szCs w:val="20"/>
        </w:rPr>
      </w:pPr>
    </w:p>
    <w:p w14:paraId="76B9BB59" w14:textId="77777777" w:rsidR="009878C5" w:rsidRPr="004A3134" w:rsidRDefault="009878C5" w:rsidP="009878C5">
      <w:pPr>
        <w:spacing w:after="0" w:line="240" w:lineRule="auto"/>
        <w:rPr>
          <w:bCs/>
          <w:sz w:val="21"/>
          <w:szCs w:val="20"/>
        </w:rPr>
      </w:pPr>
      <w:r w:rsidRPr="004A3134">
        <w:rPr>
          <w:bCs/>
          <w:sz w:val="21"/>
          <w:szCs w:val="20"/>
        </w:rPr>
        <w:t>Online sign-in is not available for Doubles.</w:t>
      </w:r>
    </w:p>
    <w:p w14:paraId="4E553799" w14:textId="77777777" w:rsidR="009878C5" w:rsidRPr="004A3134" w:rsidRDefault="009878C5" w:rsidP="009878C5">
      <w:pPr>
        <w:spacing w:after="0" w:line="240" w:lineRule="auto"/>
        <w:rPr>
          <w:bCs/>
          <w:sz w:val="21"/>
          <w:szCs w:val="20"/>
        </w:rPr>
      </w:pPr>
    </w:p>
    <w:p w14:paraId="3A2F3AA6" w14:textId="77777777" w:rsidR="009878C5" w:rsidRPr="004A3134" w:rsidRDefault="009878C5" w:rsidP="009878C5">
      <w:pPr>
        <w:spacing w:after="0" w:line="240" w:lineRule="auto"/>
        <w:rPr>
          <w:bCs/>
          <w:sz w:val="21"/>
          <w:szCs w:val="20"/>
        </w:rPr>
      </w:pPr>
      <w:r w:rsidRPr="004A3134">
        <w:rPr>
          <w:bCs/>
          <w:sz w:val="21"/>
          <w:szCs w:val="20"/>
        </w:rPr>
        <w:t>Players may sign-in by phone or on-site. Both players in a team must sign-in.</w:t>
      </w:r>
    </w:p>
    <w:p w14:paraId="40E9C374" w14:textId="77777777" w:rsidR="009878C5" w:rsidRPr="004A3134" w:rsidRDefault="009878C5" w:rsidP="009878C5">
      <w:pPr>
        <w:spacing w:after="0" w:line="240" w:lineRule="auto"/>
        <w:rPr>
          <w:bCs/>
          <w:sz w:val="21"/>
          <w:szCs w:val="20"/>
        </w:rPr>
      </w:pPr>
    </w:p>
    <w:p w14:paraId="62FC081D" w14:textId="77777777" w:rsidR="009878C5" w:rsidRPr="004A3134" w:rsidRDefault="009878C5" w:rsidP="009878C5">
      <w:pPr>
        <w:spacing w:after="0" w:line="240" w:lineRule="auto"/>
        <w:rPr>
          <w:bCs/>
          <w:sz w:val="21"/>
          <w:szCs w:val="20"/>
        </w:rPr>
      </w:pPr>
      <w:r w:rsidRPr="004A3134">
        <w:rPr>
          <w:bCs/>
          <w:sz w:val="21"/>
          <w:szCs w:val="20"/>
        </w:rPr>
        <w:t>The telephone and on-site sign-in usually opens in the afternoon the day before the sign-in deadline and closes at 12.00 local time the first day of the Singles Main Draw.</w:t>
      </w:r>
    </w:p>
    <w:p w14:paraId="79D02B9B" w14:textId="77777777" w:rsidR="009878C5" w:rsidRPr="004A3134" w:rsidRDefault="009878C5" w:rsidP="009878C5">
      <w:pPr>
        <w:spacing w:after="0" w:line="240" w:lineRule="auto"/>
        <w:rPr>
          <w:bCs/>
          <w:sz w:val="21"/>
          <w:szCs w:val="20"/>
        </w:rPr>
      </w:pPr>
    </w:p>
    <w:p w14:paraId="28BB0181" w14:textId="3ACCB50C" w:rsidR="00DD31A0" w:rsidRPr="004A3134" w:rsidRDefault="00446000" w:rsidP="00446000">
      <w:pPr>
        <w:spacing w:after="0" w:line="240" w:lineRule="auto"/>
        <w:rPr>
          <w:bCs/>
          <w:sz w:val="21"/>
          <w:szCs w:val="20"/>
        </w:rPr>
      </w:pPr>
      <w:r w:rsidRPr="004A3134">
        <w:rPr>
          <w:bCs/>
          <w:sz w:val="21"/>
          <w:szCs w:val="20"/>
        </w:rPr>
        <w:t>Doubles matches may be scheduled from 15.00 in the afternoon after the Doubles sign-in closed.</w:t>
      </w:r>
    </w:p>
    <w:p w14:paraId="5A4A713D" w14:textId="74E70FDE" w:rsidR="004A3134" w:rsidRPr="004A3134" w:rsidRDefault="004A3134" w:rsidP="00446000">
      <w:pPr>
        <w:spacing w:after="0" w:line="240" w:lineRule="auto"/>
        <w:rPr>
          <w:bCs/>
          <w:sz w:val="21"/>
          <w:szCs w:val="20"/>
        </w:rPr>
      </w:pPr>
    </w:p>
    <w:p w14:paraId="0E61E6BD" w14:textId="7867A0C8" w:rsidR="004A3134" w:rsidRPr="004A3134" w:rsidRDefault="004A3134" w:rsidP="00446000">
      <w:pPr>
        <w:spacing w:after="0" w:line="240" w:lineRule="auto"/>
        <w:rPr>
          <w:bCs/>
          <w:sz w:val="21"/>
          <w:szCs w:val="20"/>
          <w:lang/>
        </w:rPr>
      </w:pPr>
      <w:r w:rsidRPr="004A3134">
        <w:rPr>
          <w:bCs/>
          <w:sz w:val="21"/>
          <w:szCs w:val="20"/>
          <w:lang/>
        </w:rPr>
        <w:t xml:space="preserve">Should you have any questions, please do not hesitate to get in contact with us. </w:t>
      </w:r>
    </w:p>
    <w:p w14:paraId="3A90138A" w14:textId="77777777" w:rsidR="004A3134" w:rsidRPr="004A3134" w:rsidRDefault="004A3134" w:rsidP="00446000">
      <w:pPr>
        <w:spacing w:after="0" w:line="240" w:lineRule="auto"/>
        <w:rPr>
          <w:bCs/>
          <w:sz w:val="21"/>
          <w:szCs w:val="20"/>
          <w:lang/>
        </w:rPr>
      </w:pPr>
    </w:p>
    <w:p w14:paraId="3EA51090" w14:textId="3E1A0B3C" w:rsidR="004A3134" w:rsidRPr="004A3134" w:rsidRDefault="004A3134" w:rsidP="00446000">
      <w:pPr>
        <w:spacing w:after="0" w:line="240" w:lineRule="auto"/>
        <w:rPr>
          <w:bCs/>
          <w:sz w:val="21"/>
          <w:szCs w:val="20"/>
          <w:lang/>
        </w:rPr>
      </w:pPr>
      <w:r w:rsidRPr="004A3134">
        <w:rPr>
          <w:bCs/>
          <w:sz w:val="21"/>
          <w:szCs w:val="20"/>
          <w:lang/>
        </w:rPr>
        <w:t>Kind Regards,</w:t>
      </w:r>
    </w:p>
    <w:p w14:paraId="36C4C444" w14:textId="77777777" w:rsidR="004A3134" w:rsidRPr="004A3134" w:rsidRDefault="004A3134" w:rsidP="00446000">
      <w:pPr>
        <w:spacing w:after="0" w:line="240" w:lineRule="auto"/>
        <w:rPr>
          <w:bCs/>
          <w:sz w:val="21"/>
          <w:szCs w:val="20"/>
          <w:lang/>
        </w:rPr>
      </w:pPr>
    </w:p>
    <w:p w14:paraId="082DE0C1" w14:textId="3B3336A9" w:rsidR="004A3134" w:rsidRPr="004A3134" w:rsidRDefault="004A3134" w:rsidP="00446000">
      <w:pPr>
        <w:spacing w:after="0" w:line="240" w:lineRule="auto"/>
        <w:rPr>
          <w:bCs/>
          <w:sz w:val="21"/>
          <w:szCs w:val="20"/>
          <w:lang/>
        </w:rPr>
      </w:pPr>
      <w:r w:rsidRPr="004A3134">
        <w:rPr>
          <w:bCs/>
          <w:sz w:val="21"/>
          <w:szCs w:val="20"/>
          <w:lang/>
        </w:rPr>
        <w:t xml:space="preserve">Tennis Europe TEAM </w:t>
      </w:r>
    </w:p>
    <w:p w14:paraId="6F5FF980" w14:textId="4FF39B9C" w:rsidR="004A3134" w:rsidRPr="004A3134" w:rsidRDefault="004A3134" w:rsidP="00446000">
      <w:pPr>
        <w:spacing w:after="0" w:line="240" w:lineRule="auto"/>
        <w:rPr>
          <w:bCs/>
          <w:sz w:val="21"/>
          <w:szCs w:val="20"/>
          <w:lang/>
        </w:rPr>
      </w:pPr>
    </w:p>
    <w:p w14:paraId="4FA5901B" w14:textId="182FB29D" w:rsidR="004A3134" w:rsidRPr="004A3134" w:rsidRDefault="004A3134" w:rsidP="00446000">
      <w:pPr>
        <w:spacing w:after="0" w:line="240" w:lineRule="auto"/>
        <w:rPr>
          <w:bCs/>
          <w:sz w:val="21"/>
          <w:szCs w:val="20"/>
          <w:lang/>
        </w:rPr>
      </w:pPr>
      <w:r w:rsidRPr="004A3134">
        <w:rPr>
          <w:rFonts w:eastAsiaTheme="minorEastAsia"/>
          <w:noProof/>
          <w:sz w:val="21"/>
          <w:szCs w:val="20"/>
          <w:lang w:eastAsia="en-GB"/>
        </w:rPr>
        <w:t xml:space="preserve">Tennis Europe | Zur Gempenfluh 36 | 4059, Basel | Switzerland   </w:t>
      </w:r>
      <w:r w:rsidRPr="004A3134">
        <w:rPr>
          <w:rFonts w:eastAsiaTheme="minorEastAsia"/>
          <w:noProof/>
          <w:sz w:val="21"/>
          <w:szCs w:val="20"/>
          <w:lang w:eastAsia="en-GB"/>
        </w:rPr>
        <w:br/>
        <w:t>Tel: +41 62 335 90 4</w:t>
      </w:r>
      <w:r w:rsidRPr="004A3134">
        <w:rPr>
          <w:rFonts w:eastAsiaTheme="minorEastAsia"/>
          <w:noProof/>
          <w:sz w:val="21"/>
          <w:szCs w:val="20"/>
          <w:lang w:eastAsia="en-GB"/>
        </w:rPr>
        <w:t>0</w:t>
      </w:r>
      <w:r w:rsidRPr="004A3134">
        <w:rPr>
          <w:rFonts w:eastAsiaTheme="minorEastAsia"/>
          <w:noProof/>
          <w:sz w:val="21"/>
          <w:szCs w:val="20"/>
          <w:lang w:eastAsia="en-GB"/>
        </w:rPr>
        <w:t> </w:t>
      </w:r>
      <w:r w:rsidRPr="004A3134">
        <w:rPr>
          <w:rFonts w:eastAsiaTheme="minorEastAsia"/>
          <w:noProof/>
          <w:color w:val="333333"/>
          <w:sz w:val="21"/>
          <w:szCs w:val="20"/>
          <w:lang w:eastAsia="en-GB"/>
        </w:rPr>
        <w:br/>
      </w:r>
      <w:r w:rsidRPr="004A3134">
        <w:rPr>
          <w:rFonts w:eastAsiaTheme="minorEastAsia"/>
          <w:noProof/>
          <w:sz w:val="21"/>
          <w:szCs w:val="20"/>
          <w:lang w:eastAsia="en-GB"/>
        </w:rPr>
        <w:t xml:space="preserve">Email: </w:t>
      </w:r>
      <w:hyperlink r:id="rId6" w:history="1">
        <w:r w:rsidRPr="004A3134">
          <w:rPr>
            <w:rStyle w:val="Hyperlink"/>
            <w:rFonts w:eastAsiaTheme="minorEastAsia"/>
            <w:noProof/>
            <w:sz w:val="21"/>
            <w:szCs w:val="20"/>
            <w:lang w:eastAsia="en-GB"/>
          </w:rPr>
          <w:t>juniors</w:t>
        </w:r>
        <w:r w:rsidRPr="004A3134">
          <w:rPr>
            <w:rStyle w:val="Hyperlink"/>
            <w:rFonts w:eastAsiaTheme="minorEastAsia"/>
            <w:noProof/>
            <w:sz w:val="21"/>
            <w:szCs w:val="20"/>
            <w:lang w:eastAsia="en-GB"/>
          </w:rPr>
          <w:t>@tenniseurope.org</w:t>
        </w:r>
      </w:hyperlink>
    </w:p>
    <w:sectPr w:rsidR="004A3134" w:rsidRPr="004A3134" w:rsidSect="0044600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B770F"/>
    <w:multiLevelType w:val="hybridMultilevel"/>
    <w:tmpl w:val="5C7C99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C5"/>
    <w:rsid w:val="001A22BB"/>
    <w:rsid w:val="003E3D71"/>
    <w:rsid w:val="00446000"/>
    <w:rsid w:val="004A3134"/>
    <w:rsid w:val="009878C5"/>
    <w:rsid w:val="00BB0754"/>
    <w:rsid w:val="00DD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7FDE"/>
  <w15:chartTrackingRefBased/>
  <w15:docId w15:val="{909DB2FC-00E3-D141-8C37-68C633DF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8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78C5"/>
  </w:style>
  <w:style w:type="character" w:styleId="Hyperlink">
    <w:name w:val="Hyperlink"/>
    <w:basedOn w:val="DefaultParagraphFont"/>
    <w:uiPriority w:val="99"/>
    <w:unhideWhenUsed/>
    <w:rsid w:val="009878C5"/>
    <w:rPr>
      <w:color w:val="0000FF"/>
      <w:u w:val="single"/>
    </w:rPr>
  </w:style>
  <w:style w:type="paragraph" w:styleId="ListParagraph">
    <w:name w:val="List Paragraph"/>
    <w:basedOn w:val="Normal"/>
    <w:uiPriority w:val="34"/>
    <w:qFormat/>
    <w:rsid w:val="009878C5"/>
    <w:pPr>
      <w:ind w:left="720"/>
      <w:contextualSpacing/>
    </w:pPr>
  </w:style>
  <w:style w:type="character" w:customStyle="1" w:styleId="UnresolvedMention">
    <w:name w:val="Unresolved Mention"/>
    <w:basedOn w:val="DefaultParagraphFont"/>
    <w:uiPriority w:val="99"/>
    <w:semiHidden/>
    <w:unhideWhenUsed/>
    <w:rsid w:val="004A3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52010">
      <w:bodyDiv w:val="1"/>
      <w:marLeft w:val="0"/>
      <w:marRight w:val="0"/>
      <w:marTop w:val="0"/>
      <w:marBottom w:val="0"/>
      <w:divBdr>
        <w:top w:val="none" w:sz="0" w:space="0" w:color="auto"/>
        <w:left w:val="none" w:sz="0" w:space="0" w:color="auto"/>
        <w:bottom w:val="none" w:sz="0" w:space="0" w:color="auto"/>
        <w:right w:val="none" w:sz="0" w:space="0" w:color="auto"/>
      </w:divBdr>
      <w:divsChild>
        <w:div w:id="510684820">
          <w:marLeft w:val="0"/>
          <w:marRight w:val="0"/>
          <w:marTop w:val="0"/>
          <w:marBottom w:val="0"/>
          <w:divBdr>
            <w:top w:val="none" w:sz="0" w:space="0" w:color="auto"/>
            <w:left w:val="none" w:sz="0" w:space="0" w:color="auto"/>
            <w:bottom w:val="none" w:sz="0" w:space="0" w:color="auto"/>
            <w:right w:val="none" w:sz="0" w:space="0" w:color="auto"/>
          </w:divBdr>
        </w:div>
        <w:div w:id="1129739236">
          <w:marLeft w:val="0"/>
          <w:marRight w:val="0"/>
          <w:marTop w:val="0"/>
          <w:marBottom w:val="0"/>
          <w:divBdr>
            <w:top w:val="none" w:sz="0" w:space="0" w:color="auto"/>
            <w:left w:val="none" w:sz="0" w:space="0" w:color="auto"/>
            <w:bottom w:val="none" w:sz="0" w:space="0" w:color="auto"/>
            <w:right w:val="none" w:sz="0" w:space="0" w:color="auto"/>
          </w:divBdr>
        </w:div>
        <w:div w:id="302736469">
          <w:marLeft w:val="0"/>
          <w:marRight w:val="0"/>
          <w:marTop w:val="0"/>
          <w:marBottom w:val="0"/>
          <w:divBdr>
            <w:top w:val="none" w:sz="0" w:space="0" w:color="auto"/>
            <w:left w:val="none" w:sz="0" w:space="0" w:color="auto"/>
            <w:bottom w:val="none" w:sz="0" w:space="0" w:color="auto"/>
            <w:right w:val="none" w:sz="0" w:space="0" w:color="auto"/>
          </w:divBdr>
        </w:div>
        <w:div w:id="952594973">
          <w:marLeft w:val="0"/>
          <w:marRight w:val="0"/>
          <w:marTop w:val="0"/>
          <w:marBottom w:val="0"/>
          <w:divBdr>
            <w:top w:val="none" w:sz="0" w:space="0" w:color="auto"/>
            <w:left w:val="none" w:sz="0" w:space="0" w:color="auto"/>
            <w:bottom w:val="none" w:sz="0" w:space="0" w:color="auto"/>
            <w:right w:val="none" w:sz="0" w:space="0" w:color="auto"/>
          </w:divBdr>
        </w:div>
        <w:div w:id="152181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niors@tenniseurope.org" TargetMode="External"/><Relationship Id="rId5" Type="http://schemas.openxmlformats.org/officeDocument/2006/relationships/hyperlink" Target="https://www.tenniseurope.org/file/874074/?dl=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Wennberg</dc:creator>
  <cp:keywords/>
  <dc:description/>
  <cp:lastModifiedBy>user1</cp:lastModifiedBy>
  <cp:revision>2</cp:revision>
  <dcterms:created xsi:type="dcterms:W3CDTF">2020-08-26T11:55:00Z</dcterms:created>
  <dcterms:modified xsi:type="dcterms:W3CDTF">2020-08-26T11:55:00Z</dcterms:modified>
</cp:coreProperties>
</file>